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A6E" w14:textId="77777777" w:rsidR="00F205E0" w:rsidRDefault="00F205E0" w:rsidP="00F205E0">
      <w:pPr>
        <w:sectPr w:rsidR="00F205E0" w:rsidSect="00F205E0">
          <w:headerReference w:type="default" r:id="rId8"/>
          <w:footerReference w:type="default" r:id="rId9"/>
          <w:type w:val="continuous"/>
          <w:pgSz w:w="12240" w:h="15840" w:code="1"/>
          <w:pgMar w:top="720" w:right="864" w:bottom="720" w:left="576" w:header="720" w:footer="576" w:gutter="0"/>
          <w:paperSrc w:first="15" w:other="15"/>
          <w:cols w:space="720"/>
        </w:sectPr>
      </w:pPr>
    </w:p>
    <w:p w14:paraId="3D5C4653" w14:textId="117D3275" w:rsidR="00115868" w:rsidRPr="008C2D89" w:rsidRDefault="00115868" w:rsidP="00115868">
      <w:pPr>
        <w:rPr>
          <w:bCs/>
          <w:sz w:val="22"/>
          <w:szCs w:val="22"/>
        </w:rPr>
      </w:pPr>
      <w:r w:rsidRPr="008C2D89">
        <w:rPr>
          <w:b/>
          <w:sz w:val="22"/>
          <w:szCs w:val="22"/>
        </w:rPr>
        <w:t>TO:</w:t>
      </w:r>
      <w:r w:rsidRPr="008C2D89">
        <w:rPr>
          <w:b/>
          <w:sz w:val="22"/>
          <w:szCs w:val="22"/>
        </w:rPr>
        <w:tab/>
      </w:r>
      <w:r w:rsidRPr="008C2D89">
        <w:rPr>
          <w:b/>
          <w:sz w:val="22"/>
          <w:szCs w:val="22"/>
        </w:rPr>
        <w:tab/>
      </w:r>
      <w:r w:rsidRPr="008C2D89">
        <w:rPr>
          <w:bCs/>
          <w:sz w:val="22"/>
          <w:szCs w:val="22"/>
        </w:rPr>
        <w:t>Interested P</w:t>
      </w:r>
      <w:r w:rsidR="00B5413E" w:rsidRPr="008C2D89">
        <w:rPr>
          <w:bCs/>
          <w:sz w:val="22"/>
          <w:szCs w:val="22"/>
        </w:rPr>
        <w:t>ersons</w:t>
      </w:r>
    </w:p>
    <w:p w14:paraId="1802B73F" w14:textId="77777777" w:rsidR="00115868" w:rsidRPr="008C2D89" w:rsidRDefault="00115868" w:rsidP="00115868">
      <w:pPr>
        <w:tabs>
          <w:tab w:val="left" w:pos="1170"/>
        </w:tabs>
        <w:rPr>
          <w:sz w:val="22"/>
          <w:szCs w:val="22"/>
        </w:rPr>
      </w:pPr>
      <w:r w:rsidRPr="008C2D89">
        <w:rPr>
          <w:sz w:val="22"/>
          <w:szCs w:val="22"/>
        </w:rPr>
        <w:tab/>
      </w:r>
      <w:r w:rsidRPr="008C2D89">
        <w:rPr>
          <w:sz w:val="22"/>
          <w:szCs w:val="22"/>
        </w:rPr>
        <w:tab/>
      </w:r>
    </w:p>
    <w:p w14:paraId="3B3C9E3D" w14:textId="7FD2F29A" w:rsidR="00115868" w:rsidRPr="008C2D89" w:rsidRDefault="00115868" w:rsidP="00115868">
      <w:pPr>
        <w:tabs>
          <w:tab w:val="left" w:pos="1170"/>
        </w:tabs>
        <w:rPr>
          <w:sz w:val="22"/>
          <w:szCs w:val="22"/>
        </w:rPr>
      </w:pPr>
      <w:r w:rsidRPr="008C2D89">
        <w:rPr>
          <w:b/>
          <w:sz w:val="22"/>
          <w:szCs w:val="22"/>
        </w:rPr>
        <w:t>FROM:</w:t>
      </w:r>
      <w:r w:rsidRPr="008C2D89">
        <w:rPr>
          <w:b/>
          <w:sz w:val="22"/>
          <w:szCs w:val="22"/>
        </w:rPr>
        <w:tab/>
      </w:r>
      <w:r w:rsidRPr="008C2D89">
        <w:rPr>
          <w:b/>
          <w:sz w:val="22"/>
          <w:szCs w:val="22"/>
        </w:rPr>
        <w:tab/>
      </w:r>
      <w:r w:rsidRPr="008C2D89">
        <w:rPr>
          <w:bCs/>
          <w:sz w:val="22"/>
          <w:szCs w:val="22"/>
        </w:rPr>
        <w:t xml:space="preserve">Therese Harris, </w:t>
      </w:r>
      <w:r w:rsidR="005405EA" w:rsidRPr="008C2D89">
        <w:rPr>
          <w:bCs/>
          <w:sz w:val="22"/>
          <w:szCs w:val="22"/>
        </w:rPr>
        <w:t xml:space="preserve">Director, </w:t>
      </w:r>
      <w:r w:rsidRPr="008C2D89">
        <w:rPr>
          <w:bCs/>
          <w:sz w:val="22"/>
          <w:szCs w:val="22"/>
        </w:rPr>
        <w:t>Infrastructure Division</w:t>
      </w:r>
      <w:r w:rsidRPr="008C2D89">
        <w:rPr>
          <w:b/>
          <w:sz w:val="22"/>
          <w:szCs w:val="22"/>
        </w:rPr>
        <w:t xml:space="preserve"> </w:t>
      </w:r>
    </w:p>
    <w:p w14:paraId="1F8F6666" w14:textId="77777777" w:rsidR="00115868" w:rsidRPr="008C2D89" w:rsidRDefault="00115868" w:rsidP="00115868">
      <w:pPr>
        <w:tabs>
          <w:tab w:val="left" w:pos="1170"/>
        </w:tabs>
        <w:rPr>
          <w:sz w:val="22"/>
          <w:szCs w:val="22"/>
        </w:rPr>
      </w:pPr>
      <w:r w:rsidRPr="008C2D89">
        <w:rPr>
          <w:sz w:val="22"/>
          <w:szCs w:val="22"/>
        </w:rPr>
        <w:tab/>
      </w:r>
      <w:r w:rsidRPr="008C2D89">
        <w:rPr>
          <w:sz w:val="22"/>
          <w:szCs w:val="22"/>
        </w:rPr>
        <w:tab/>
      </w:r>
    </w:p>
    <w:p w14:paraId="5B582188" w14:textId="04CA104C" w:rsidR="00115868" w:rsidRPr="008C2D89" w:rsidRDefault="00115868" w:rsidP="00115868">
      <w:pPr>
        <w:tabs>
          <w:tab w:val="left" w:pos="1170"/>
        </w:tabs>
        <w:spacing w:before="240"/>
        <w:rPr>
          <w:bCs/>
          <w:sz w:val="22"/>
          <w:szCs w:val="22"/>
        </w:rPr>
      </w:pPr>
      <w:r w:rsidRPr="008C2D89">
        <w:rPr>
          <w:b/>
          <w:sz w:val="22"/>
          <w:szCs w:val="22"/>
        </w:rPr>
        <w:t>DATE:</w:t>
      </w:r>
      <w:r w:rsidRPr="008C2D89">
        <w:rPr>
          <w:b/>
          <w:sz w:val="22"/>
          <w:szCs w:val="22"/>
        </w:rPr>
        <w:tab/>
      </w:r>
      <w:r w:rsidRPr="008C2D89">
        <w:rPr>
          <w:b/>
          <w:sz w:val="22"/>
          <w:szCs w:val="22"/>
        </w:rPr>
        <w:tab/>
      </w:r>
      <w:r w:rsidR="008C2D89" w:rsidRPr="008C2D89">
        <w:rPr>
          <w:bCs/>
          <w:sz w:val="22"/>
          <w:szCs w:val="22"/>
        </w:rPr>
        <w:t>January 30,</w:t>
      </w:r>
      <w:r w:rsidR="008C2D89" w:rsidRPr="008C2D89">
        <w:rPr>
          <w:b/>
          <w:sz w:val="22"/>
          <w:szCs w:val="22"/>
        </w:rPr>
        <w:t xml:space="preserve"> </w:t>
      </w:r>
      <w:r w:rsidRPr="008C2D89">
        <w:rPr>
          <w:bCs/>
          <w:sz w:val="22"/>
          <w:szCs w:val="22"/>
        </w:rPr>
        <w:t>202</w:t>
      </w:r>
      <w:r w:rsidR="008C2D89">
        <w:rPr>
          <w:bCs/>
          <w:sz w:val="22"/>
          <w:szCs w:val="22"/>
        </w:rPr>
        <w:t>3</w:t>
      </w:r>
      <w:r w:rsidRPr="008C2D89">
        <w:rPr>
          <w:bCs/>
          <w:sz w:val="22"/>
          <w:szCs w:val="22"/>
        </w:rPr>
        <w:br/>
      </w:r>
    </w:p>
    <w:p w14:paraId="5F0B4D60" w14:textId="00C8AD7F" w:rsidR="00115868" w:rsidRPr="008C2D89" w:rsidRDefault="00115868" w:rsidP="00115868">
      <w:pPr>
        <w:ind w:left="1440" w:right="-450" w:hanging="1440"/>
        <w:rPr>
          <w:bCs/>
          <w:sz w:val="22"/>
          <w:szCs w:val="22"/>
        </w:rPr>
      </w:pPr>
      <w:r w:rsidRPr="008C2D89">
        <w:rPr>
          <w:b/>
          <w:sz w:val="22"/>
          <w:szCs w:val="22"/>
        </w:rPr>
        <w:t>RE:</w:t>
      </w:r>
      <w:r w:rsidRPr="008C2D89">
        <w:rPr>
          <w:b/>
          <w:sz w:val="22"/>
          <w:szCs w:val="22"/>
        </w:rPr>
        <w:tab/>
      </w:r>
      <w:r w:rsidRPr="008C2D89">
        <w:rPr>
          <w:bCs/>
          <w:sz w:val="22"/>
          <w:szCs w:val="22"/>
        </w:rPr>
        <w:t>Project No. 38578 –</w:t>
      </w:r>
      <w:r w:rsidRPr="008C2D89">
        <w:rPr>
          <w:b/>
          <w:sz w:val="22"/>
          <w:szCs w:val="22"/>
        </w:rPr>
        <w:t xml:space="preserve"> </w:t>
      </w:r>
      <w:r w:rsidR="008C2D89" w:rsidRPr="008C2D89">
        <w:rPr>
          <w:bCs/>
          <w:sz w:val="22"/>
          <w:szCs w:val="22"/>
        </w:rPr>
        <w:t>Energy Efficiency Stakeholder Working Group Agendas</w:t>
      </w:r>
      <w:r w:rsidR="008C2D89">
        <w:rPr>
          <w:bCs/>
          <w:sz w:val="22"/>
          <w:szCs w:val="22"/>
        </w:rPr>
        <w:t>, Presentations,</w:t>
      </w:r>
      <w:r w:rsidR="008C2D89" w:rsidRPr="008C2D89">
        <w:rPr>
          <w:bCs/>
          <w:sz w:val="22"/>
          <w:szCs w:val="22"/>
        </w:rPr>
        <w:t xml:space="preserve"> and Recording Information</w:t>
      </w:r>
    </w:p>
    <w:p w14:paraId="4FA43617" w14:textId="77777777" w:rsidR="00115868" w:rsidRPr="00E26E8A" w:rsidRDefault="00115868" w:rsidP="00115868">
      <w:pPr>
        <w:tabs>
          <w:tab w:val="left" w:pos="1170"/>
        </w:tabs>
        <w:ind w:left="1170" w:right="-450" w:hanging="1170"/>
        <w:rPr>
          <w:bCs/>
        </w:rPr>
      </w:pPr>
      <w:r w:rsidRPr="00E26E8A">
        <w:rPr>
          <w:bCs/>
          <w:noProof/>
        </w:rPr>
        <mc:AlternateContent>
          <mc:Choice Requires="wps">
            <w:drawing>
              <wp:anchor distT="0" distB="0" distL="114300" distR="114300" simplePos="0" relativeHeight="251659264" behindDoc="0" locked="0" layoutInCell="1" allowOverlap="1" wp14:anchorId="6753E602" wp14:editId="18ABD131">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30B0B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rsidRPr="00E26E8A">
        <w:rPr>
          <w:bCs/>
        </w:rPr>
        <w:tab/>
      </w:r>
    </w:p>
    <w:p w14:paraId="0E2D46F3" w14:textId="77777777" w:rsidR="008C2D89" w:rsidRPr="008C2D89" w:rsidRDefault="008C2D89" w:rsidP="008C2D89">
      <w:pPr>
        <w:jc w:val="both"/>
        <w:rPr>
          <w:sz w:val="22"/>
          <w:szCs w:val="22"/>
        </w:rPr>
      </w:pPr>
      <w:r w:rsidRPr="008C2D89">
        <w:rPr>
          <w:sz w:val="22"/>
          <w:szCs w:val="22"/>
        </w:rPr>
        <w:t xml:space="preserve">The first week of the Energy Efficiency Stakeholder Working Groups provided helpful feedback and insight. The presentations and recordings for the first sessions of the four stakeholder working groups are located at: </w:t>
      </w:r>
      <w:hyperlink r:id="rId10" w:history="1">
        <w:r w:rsidRPr="008C2D89">
          <w:rPr>
            <w:rStyle w:val="Hyperlink"/>
            <w:sz w:val="22"/>
            <w:szCs w:val="22"/>
          </w:rPr>
          <w:t>TX EE Working Groups</w:t>
        </w:r>
      </w:hyperlink>
      <w:r w:rsidRPr="008C2D89">
        <w:rPr>
          <w:sz w:val="22"/>
          <w:szCs w:val="22"/>
        </w:rPr>
        <w:t xml:space="preserve">. If you need access to this site, please contact the Commission’s evaluation, measurement, and verification contractor, Tetra Tech facilitators </w:t>
      </w:r>
      <w:hyperlink r:id="rId11" w:history="1">
        <w:r w:rsidRPr="008C2D89">
          <w:rPr>
            <w:rStyle w:val="Hyperlink"/>
            <w:sz w:val="22"/>
            <w:szCs w:val="22"/>
          </w:rPr>
          <w:t>lark.lee@tetratech.com</w:t>
        </w:r>
      </w:hyperlink>
      <w:r w:rsidRPr="008C2D89">
        <w:rPr>
          <w:sz w:val="22"/>
          <w:szCs w:val="22"/>
        </w:rPr>
        <w:t xml:space="preserve"> or </w:t>
      </w:r>
      <w:hyperlink r:id="rId12" w:history="1">
        <w:r w:rsidRPr="008C2D89">
          <w:rPr>
            <w:rStyle w:val="Hyperlink"/>
            <w:sz w:val="22"/>
            <w:szCs w:val="22"/>
          </w:rPr>
          <w:t>tina.yoder@tetratech.com</w:t>
        </w:r>
      </w:hyperlink>
      <w:r w:rsidRPr="008C2D89">
        <w:rPr>
          <w:sz w:val="22"/>
          <w:szCs w:val="22"/>
        </w:rPr>
        <w:t>.  Presentations and recordings will be posted biweekly as working groups are held. The working group agendas are at the end of this email.</w:t>
      </w:r>
    </w:p>
    <w:p w14:paraId="7A07987D" w14:textId="77777777" w:rsidR="008C2D89" w:rsidRPr="008C2D89" w:rsidRDefault="008C2D89" w:rsidP="008C2D89">
      <w:pPr>
        <w:jc w:val="both"/>
        <w:rPr>
          <w:sz w:val="22"/>
          <w:szCs w:val="22"/>
        </w:rPr>
      </w:pPr>
    </w:p>
    <w:p w14:paraId="1071E6CE" w14:textId="240CABC8" w:rsidR="008C2D89" w:rsidRPr="008C2D89" w:rsidRDefault="008C2D89" w:rsidP="008C2D89">
      <w:pPr>
        <w:jc w:val="both"/>
        <w:rPr>
          <w:sz w:val="22"/>
          <w:szCs w:val="22"/>
        </w:rPr>
      </w:pPr>
      <w:r w:rsidRPr="008C2D89">
        <w:rPr>
          <w:sz w:val="22"/>
          <w:szCs w:val="22"/>
          <w:u w:val="single"/>
        </w:rPr>
        <w:t>The next Energy Efficiency Implementation Project (EEIP) meeting will be held Tuesday, March 28, 2023</w:t>
      </w:r>
      <w:r w:rsidR="00DB14A8">
        <w:rPr>
          <w:sz w:val="22"/>
          <w:szCs w:val="22"/>
          <w:u w:val="single"/>
        </w:rPr>
        <w:t>,</w:t>
      </w:r>
      <w:r w:rsidRPr="008C2D89">
        <w:rPr>
          <w:sz w:val="22"/>
          <w:szCs w:val="22"/>
          <w:u w:val="single"/>
        </w:rPr>
        <w:t xml:space="preserve"> from 9 am to 4 pm</w:t>
      </w:r>
      <w:r w:rsidRPr="008C2D89">
        <w:rPr>
          <w:sz w:val="22"/>
          <w:szCs w:val="22"/>
        </w:rPr>
        <w:t>. The EEIP meeting will include an overview of utility program plans and a presentation from the Texas Property Assessed Clean Energy (PACE) program in the morning, followed by the Energy Efficiency Stakeholder Working Groups’ progress updates in the afternoon.  </w:t>
      </w:r>
    </w:p>
    <w:p w14:paraId="7CB015D1" w14:textId="77777777" w:rsidR="008C2D89" w:rsidRPr="008C2D89" w:rsidRDefault="008C2D89" w:rsidP="008C2D89">
      <w:pPr>
        <w:rPr>
          <w:sz w:val="22"/>
          <w:szCs w:val="22"/>
        </w:rPr>
      </w:pPr>
    </w:p>
    <w:p w14:paraId="0A4200D8" w14:textId="77777777" w:rsidR="008C2D89" w:rsidRPr="008C2D89" w:rsidRDefault="008C2D89" w:rsidP="008C2D89">
      <w:pPr>
        <w:rPr>
          <w:b/>
          <w:bCs/>
          <w:sz w:val="22"/>
          <w:szCs w:val="22"/>
        </w:rPr>
      </w:pPr>
      <w:r w:rsidRPr="008C2D89">
        <w:rPr>
          <w:b/>
          <w:bCs/>
          <w:sz w:val="22"/>
          <w:szCs w:val="22"/>
        </w:rPr>
        <w:t>Energy Efficiency Stakeholder Working Group Agendas, January 23 – March 9, 2023</w:t>
      </w:r>
    </w:p>
    <w:p w14:paraId="21271325" w14:textId="77777777" w:rsidR="008C2D89" w:rsidRPr="008C2D89" w:rsidRDefault="008C2D89" w:rsidP="008C2D89">
      <w:pPr>
        <w:rPr>
          <w:sz w:val="22"/>
          <w:szCs w:val="22"/>
        </w:rPr>
      </w:pPr>
    </w:p>
    <w:p w14:paraId="73164084" w14:textId="77777777" w:rsidR="008C2D89" w:rsidRPr="008C2D89" w:rsidRDefault="008C2D89" w:rsidP="008C2D89">
      <w:pPr>
        <w:rPr>
          <w:b/>
          <w:bCs/>
          <w:sz w:val="22"/>
          <w:szCs w:val="22"/>
        </w:rPr>
      </w:pPr>
      <w:r w:rsidRPr="008C2D89">
        <w:rPr>
          <w:b/>
          <w:bCs/>
          <w:sz w:val="22"/>
          <w:szCs w:val="22"/>
        </w:rPr>
        <w:t>Program Goals</w:t>
      </w:r>
    </w:p>
    <w:p w14:paraId="37B5EC22" w14:textId="77777777" w:rsidR="008C2D89" w:rsidRPr="008C2D89" w:rsidRDefault="008C2D89" w:rsidP="008C2D89">
      <w:pPr>
        <w:numPr>
          <w:ilvl w:val="0"/>
          <w:numId w:val="2"/>
        </w:numPr>
        <w:rPr>
          <w:sz w:val="22"/>
          <w:szCs w:val="22"/>
        </w:rPr>
      </w:pPr>
      <w:r w:rsidRPr="008C2D89">
        <w:rPr>
          <w:sz w:val="22"/>
          <w:szCs w:val="22"/>
        </w:rPr>
        <w:t>Workshop 1 (January 23): Introductions, Agree on Objectives and Outcome, Peak kW Discussion</w:t>
      </w:r>
    </w:p>
    <w:p w14:paraId="5930A8A5" w14:textId="77777777" w:rsidR="008C2D89" w:rsidRPr="008C2D89" w:rsidRDefault="008C2D89" w:rsidP="008C2D89">
      <w:pPr>
        <w:numPr>
          <w:ilvl w:val="0"/>
          <w:numId w:val="2"/>
        </w:numPr>
        <w:rPr>
          <w:sz w:val="22"/>
          <w:szCs w:val="22"/>
        </w:rPr>
      </w:pPr>
      <w:r w:rsidRPr="008C2D89">
        <w:rPr>
          <w:sz w:val="22"/>
          <w:szCs w:val="22"/>
        </w:rPr>
        <w:t>Workshop 2 (February 6): Recap Workshop 1, Wrap-up Peak kW Discussion, kWh Discussion</w:t>
      </w:r>
    </w:p>
    <w:p w14:paraId="3AC2A90B" w14:textId="77777777" w:rsidR="008C2D89" w:rsidRPr="008C2D89" w:rsidRDefault="008C2D89" w:rsidP="008C2D89">
      <w:pPr>
        <w:numPr>
          <w:ilvl w:val="0"/>
          <w:numId w:val="2"/>
        </w:numPr>
        <w:rPr>
          <w:sz w:val="22"/>
          <w:szCs w:val="22"/>
        </w:rPr>
      </w:pPr>
      <w:r w:rsidRPr="008C2D89">
        <w:rPr>
          <w:sz w:val="22"/>
          <w:szCs w:val="22"/>
        </w:rPr>
        <w:t>Workshop 3 (February 20*): Recap Workshop 2, Wrap-up kWh Discussion, Goal Considerations (marketing, cost caps, industrial opt-outs) Discussion</w:t>
      </w:r>
    </w:p>
    <w:p w14:paraId="58DBE270" w14:textId="77777777" w:rsidR="008C2D89" w:rsidRPr="008C2D89" w:rsidRDefault="008C2D89" w:rsidP="008C2D89">
      <w:pPr>
        <w:numPr>
          <w:ilvl w:val="0"/>
          <w:numId w:val="2"/>
        </w:numPr>
        <w:rPr>
          <w:sz w:val="22"/>
          <w:szCs w:val="22"/>
        </w:rPr>
      </w:pPr>
      <w:r w:rsidRPr="008C2D89">
        <w:rPr>
          <w:sz w:val="22"/>
          <w:szCs w:val="22"/>
        </w:rPr>
        <w:t xml:space="preserve">Workshop 4 (March 6): Recap Workshop 3, Wrap-up Goal Considerations; Plan EEIP Progress Update </w:t>
      </w:r>
    </w:p>
    <w:p w14:paraId="068ABB8E" w14:textId="77777777" w:rsidR="008C2D89" w:rsidRPr="008C2D89" w:rsidRDefault="008C2D89" w:rsidP="008C2D89">
      <w:pPr>
        <w:ind w:left="720"/>
        <w:rPr>
          <w:b/>
          <w:bCs/>
          <w:sz w:val="22"/>
          <w:szCs w:val="22"/>
        </w:rPr>
      </w:pPr>
    </w:p>
    <w:p w14:paraId="1349FA66" w14:textId="77777777" w:rsidR="008C2D89" w:rsidRPr="008C2D89" w:rsidRDefault="008C2D89" w:rsidP="008C2D89">
      <w:pPr>
        <w:rPr>
          <w:b/>
          <w:bCs/>
          <w:sz w:val="22"/>
          <w:szCs w:val="22"/>
        </w:rPr>
      </w:pPr>
      <w:r w:rsidRPr="008C2D89">
        <w:rPr>
          <w:b/>
          <w:bCs/>
          <w:sz w:val="22"/>
          <w:szCs w:val="22"/>
        </w:rPr>
        <w:t>Low Income and Underserved Segments</w:t>
      </w:r>
    </w:p>
    <w:p w14:paraId="1817DD4B" w14:textId="77777777" w:rsidR="008C2D89" w:rsidRPr="008C2D89" w:rsidRDefault="008C2D89" w:rsidP="008C2D89">
      <w:pPr>
        <w:numPr>
          <w:ilvl w:val="0"/>
          <w:numId w:val="3"/>
        </w:numPr>
        <w:rPr>
          <w:sz w:val="22"/>
          <w:szCs w:val="22"/>
        </w:rPr>
      </w:pPr>
      <w:r w:rsidRPr="008C2D89">
        <w:rPr>
          <w:sz w:val="22"/>
          <w:szCs w:val="22"/>
        </w:rPr>
        <w:t xml:space="preserve">Workshop 1 (January 24): Introductions, Agree on Objectives and Outcome, Begin Low-Income and Hard-to-Reach Programs Discussion </w:t>
      </w:r>
    </w:p>
    <w:p w14:paraId="66914F99" w14:textId="77777777" w:rsidR="008C2D89" w:rsidRPr="008C2D89" w:rsidRDefault="008C2D89" w:rsidP="008C2D89">
      <w:pPr>
        <w:numPr>
          <w:ilvl w:val="0"/>
          <w:numId w:val="3"/>
        </w:numPr>
        <w:rPr>
          <w:sz w:val="22"/>
          <w:szCs w:val="22"/>
        </w:rPr>
      </w:pPr>
      <w:r w:rsidRPr="008C2D89">
        <w:rPr>
          <w:sz w:val="22"/>
          <w:szCs w:val="22"/>
        </w:rPr>
        <w:t>Workshop 2 (February 7): Recap Workshop 1, Complete Low-Income and Hard-to-Reach Programs Discussion, Begin Underserved Segments Discussion</w:t>
      </w:r>
    </w:p>
    <w:p w14:paraId="6FA79A1D" w14:textId="77777777" w:rsidR="008C2D89" w:rsidRPr="008C2D89" w:rsidRDefault="008C2D89" w:rsidP="008C2D89">
      <w:pPr>
        <w:numPr>
          <w:ilvl w:val="0"/>
          <w:numId w:val="3"/>
        </w:numPr>
        <w:rPr>
          <w:sz w:val="22"/>
          <w:szCs w:val="22"/>
        </w:rPr>
      </w:pPr>
      <w:r w:rsidRPr="008C2D89">
        <w:rPr>
          <w:sz w:val="22"/>
          <w:szCs w:val="22"/>
        </w:rPr>
        <w:lastRenderedPageBreak/>
        <w:t xml:space="preserve">Workshop 3 (February 21): Recap Workshop 2, Complete Underserved Segments Discussion, Begin Coordination with Other Programs and Funding Sources Discussion </w:t>
      </w:r>
    </w:p>
    <w:p w14:paraId="0BD03C34" w14:textId="77777777" w:rsidR="008C2D89" w:rsidRPr="008C2D89" w:rsidRDefault="008C2D89" w:rsidP="008C2D89">
      <w:pPr>
        <w:numPr>
          <w:ilvl w:val="0"/>
          <w:numId w:val="3"/>
        </w:numPr>
        <w:rPr>
          <w:sz w:val="22"/>
          <w:szCs w:val="22"/>
        </w:rPr>
      </w:pPr>
      <w:r w:rsidRPr="008C2D89">
        <w:rPr>
          <w:sz w:val="22"/>
          <w:szCs w:val="22"/>
        </w:rPr>
        <w:t xml:space="preserve">Workshop 4 (March 7): Recap Workshop 3, Complete Coordination with Other Programs and Funding Sources Discussion, Discuss EEIP Progress Update </w:t>
      </w:r>
    </w:p>
    <w:p w14:paraId="4EA25F7F" w14:textId="77777777" w:rsidR="008C2D89" w:rsidRPr="008C2D89" w:rsidRDefault="008C2D89" w:rsidP="008C2D89">
      <w:pPr>
        <w:rPr>
          <w:b/>
          <w:bCs/>
          <w:sz w:val="22"/>
          <w:szCs w:val="22"/>
        </w:rPr>
      </w:pPr>
    </w:p>
    <w:p w14:paraId="4636655A" w14:textId="77777777" w:rsidR="008C2D89" w:rsidRPr="008C2D89" w:rsidRDefault="008C2D89" w:rsidP="008C2D89">
      <w:pPr>
        <w:rPr>
          <w:b/>
          <w:bCs/>
          <w:sz w:val="22"/>
          <w:szCs w:val="22"/>
        </w:rPr>
      </w:pPr>
      <w:r w:rsidRPr="008C2D89">
        <w:rPr>
          <w:b/>
          <w:bCs/>
          <w:sz w:val="22"/>
          <w:szCs w:val="22"/>
        </w:rPr>
        <w:t>Demand Response</w:t>
      </w:r>
    </w:p>
    <w:p w14:paraId="2FDAFBD9" w14:textId="77777777" w:rsidR="008C2D89" w:rsidRPr="008C2D89" w:rsidRDefault="008C2D89" w:rsidP="008C2D89">
      <w:pPr>
        <w:numPr>
          <w:ilvl w:val="0"/>
          <w:numId w:val="4"/>
        </w:numPr>
        <w:rPr>
          <w:sz w:val="22"/>
          <w:szCs w:val="22"/>
        </w:rPr>
      </w:pPr>
      <w:r w:rsidRPr="008C2D89">
        <w:rPr>
          <w:sz w:val="22"/>
          <w:szCs w:val="22"/>
        </w:rPr>
        <w:t xml:space="preserve">Workshop 1 (January 25): Introductions, Agree on Objectives and Outcome, Role of Demand Response in Energy Efficiency Portfolio </w:t>
      </w:r>
    </w:p>
    <w:p w14:paraId="7EFC789D" w14:textId="77777777" w:rsidR="008C2D89" w:rsidRPr="008C2D89" w:rsidRDefault="008C2D89" w:rsidP="008C2D89">
      <w:pPr>
        <w:numPr>
          <w:ilvl w:val="0"/>
          <w:numId w:val="4"/>
        </w:numPr>
        <w:rPr>
          <w:sz w:val="22"/>
          <w:szCs w:val="22"/>
        </w:rPr>
      </w:pPr>
      <w:r w:rsidRPr="008C2D89">
        <w:rPr>
          <w:sz w:val="22"/>
          <w:szCs w:val="22"/>
        </w:rPr>
        <w:t>Workshop 2 (February 8): Recap Workshop 1, Wrap-Up Role of Demand Response Discussion, Best Practices Discussion</w:t>
      </w:r>
    </w:p>
    <w:p w14:paraId="36AC157F" w14:textId="77777777" w:rsidR="008C2D89" w:rsidRPr="008C2D89" w:rsidRDefault="008C2D89" w:rsidP="008C2D89">
      <w:pPr>
        <w:numPr>
          <w:ilvl w:val="0"/>
          <w:numId w:val="4"/>
        </w:numPr>
        <w:rPr>
          <w:sz w:val="22"/>
          <w:szCs w:val="22"/>
        </w:rPr>
      </w:pPr>
      <w:r w:rsidRPr="008C2D89">
        <w:rPr>
          <w:sz w:val="22"/>
          <w:szCs w:val="22"/>
        </w:rPr>
        <w:t>Workshop 3 (February 22): Recap Workshop 2, Wrap-Up Best Practices Discussion, Begin Peak Contributions and Periods Discussion</w:t>
      </w:r>
    </w:p>
    <w:p w14:paraId="02C189B9" w14:textId="77777777" w:rsidR="008C2D89" w:rsidRPr="008C2D89" w:rsidRDefault="008C2D89" w:rsidP="008C2D89">
      <w:pPr>
        <w:numPr>
          <w:ilvl w:val="0"/>
          <w:numId w:val="4"/>
        </w:numPr>
        <w:rPr>
          <w:sz w:val="22"/>
          <w:szCs w:val="22"/>
        </w:rPr>
      </w:pPr>
      <w:r w:rsidRPr="008C2D89">
        <w:rPr>
          <w:sz w:val="22"/>
          <w:szCs w:val="22"/>
        </w:rPr>
        <w:t xml:space="preserve">Workshop 4 (March 8): Recap Workshop 3, Wrap-Up Peak Contributions and Periods Discussion; Discuss EEIP Progress Update </w:t>
      </w:r>
    </w:p>
    <w:p w14:paraId="55CD36DA" w14:textId="77777777" w:rsidR="008C2D89" w:rsidRPr="008C2D89" w:rsidRDefault="008C2D89" w:rsidP="008C2D89">
      <w:pPr>
        <w:rPr>
          <w:sz w:val="22"/>
          <w:szCs w:val="22"/>
        </w:rPr>
      </w:pPr>
    </w:p>
    <w:p w14:paraId="3CBE2F53" w14:textId="77777777" w:rsidR="008C2D89" w:rsidRPr="008C2D89" w:rsidRDefault="008C2D89" w:rsidP="008C2D89">
      <w:pPr>
        <w:rPr>
          <w:b/>
          <w:bCs/>
          <w:sz w:val="22"/>
          <w:szCs w:val="22"/>
        </w:rPr>
      </w:pPr>
      <w:r w:rsidRPr="008C2D89">
        <w:rPr>
          <w:b/>
          <w:bCs/>
          <w:sz w:val="22"/>
          <w:szCs w:val="22"/>
        </w:rPr>
        <w:t xml:space="preserve">Program Planning </w:t>
      </w:r>
    </w:p>
    <w:p w14:paraId="672A63BC" w14:textId="77777777" w:rsidR="008C2D89" w:rsidRPr="008C2D89" w:rsidRDefault="008C2D89" w:rsidP="008C2D89">
      <w:pPr>
        <w:numPr>
          <w:ilvl w:val="0"/>
          <w:numId w:val="4"/>
        </w:numPr>
        <w:rPr>
          <w:sz w:val="22"/>
          <w:szCs w:val="22"/>
        </w:rPr>
      </w:pPr>
      <w:r w:rsidRPr="008C2D89">
        <w:rPr>
          <w:sz w:val="22"/>
          <w:szCs w:val="22"/>
        </w:rPr>
        <w:t>Workshop 1 (January 26): Introductions, Agree on Objectives and Outcome, Begin Planning Cycle and Avoided Cost Discussions</w:t>
      </w:r>
    </w:p>
    <w:p w14:paraId="6041024E" w14:textId="77777777" w:rsidR="008C2D89" w:rsidRPr="008C2D89" w:rsidRDefault="008C2D89" w:rsidP="008C2D89">
      <w:pPr>
        <w:numPr>
          <w:ilvl w:val="0"/>
          <w:numId w:val="4"/>
        </w:numPr>
        <w:rPr>
          <w:sz w:val="22"/>
          <w:szCs w:val="22"/>
        </w:rPr>
      </w:pPr>
      <w:r w:rsidRPr="008C2D89">
        <w:rPr>
          <w:sz w:val="22"/>
          <w:szCs w:val="22"/>
        </w:rPr>
        <w:t>Workshop 2 (February 9): Recap Workshop 1, Complete Avoided Costs Discussion, Begin Cost-Effectiveness Discussion</w:t>
      </w:r>
    </w:p>
    <w:p w14:paraId="39025077" w14:textId="77777777" w:rsidR="008C2D89" w:rsidRPr="008C2D89" w:rsidRDefault="008C2D89" w:rsidP="008C2D89">
      <w:pPr>
        <w:numPr>
          <w:ilvl w:val="0"/>
          <w:numId w:val="4"/>
        </w:numPr>
        <w:rPr>
          <w:sz w:val="22"/>
          <w:szCs w:val="22"/>
        </w:rPr>
      </w:pPr>
      <w:r w:rsidRPr="008C2D89">
        <w:rPr>
          <w:sz w:val="22"/>
          <w:szCs w:val="22"/>
        </w:rPr>
        <w:t>Workshop 3 (February 23): Recap Workshop 2, Complete Cost-Effectiveness and Begin Performance Bonus and Retail Electric Provider Participation Discussions</w:t>
      </w:r>
    </w:p>
    <w:p w14:paraId="28D5AED0" w14:textId="77777777" w:rsidR="008C2D89" w:rsidRPr="008C2D89" w:rsidRDefault="008C2D89" w:rsidP="008C2D89">
      <w:pPr>
        <w:numPr>
          <w:ilvl w:val="0"/>
          <w:numId w:val="4"/>
        </w:numPr>
        <w:rPr>
          <w:sz w:val="22"/>
          <w:szCs w:val="22"/>
        </w:rPr>
      </w:pPr>
      <w:r w:rsidRPr="008C2D89">
        <w:rPr>
          <w:sz w:val="22"/>
          <w:szCs w:val="22"/>
        </w:rPr>
        <w:t xml:space="preserve">Workshop 4 (March 9): Recap Workshop 3, Complete Performance Bonus and Retail Energy Provider Participation Discussions, Discuss EEIP Progress Update </w:t>
      </w:r>
    </w:p>
    <w:p w14:paraId="28A02347" w14:textId="77777777" w:rsidR="008C2D89" w:rsidRPr="008C2D89" w:rsidRDefault="008C2D89" w:rsidP="008C2D89">
      <w:pPr>
        <w:ind w:left="720"/>
        <w:jc w:val="both"/>
        <w:rPr>
          <w:b/>
          <w:bCs/>
          <w:sz w:val="22"/>
          <w:szCs w:val="22"/>
        </w:rPr>
      </w:pPr>
    </w:p>
    <w:p w14:paraId="227619BC" w14:textId="77777777" w:rsidR="008C2D89" w:rsidRPr="008C2D89" w:rsidRDefault="008C2D89" w:rsidP="008C2D89">
      <w:pPr>
        <w:jc w:val="both"/>
        <w:rPr>
          <w:sz w:val="22"/>
          <w:szCs w:val="22"/>
        </w:rPr>
      </w:pPr>
      <w:r w:rsidRPr="008C2D89">
        <w:rPr>
          <w:sz w:val="22"/>
          <w:szCs w:val="22"/>
        </w:rPr>
        <w:t>*May be rescheduled if a holiday for majority of participants.</w:t>
      </w:r>
    </w:p>
    <w:p w14:paraId="27C60AF4" w14:textId="77777777" w:rsidR="008C2D89" w:rsidRPr="008C2D89" w:rsidRDefault="008C2D89" w:rsidP="008C2D89">
      <w:pPr>
        <w:rPr>
          <w:sz w:val="22"/>
          <w:szCs w:val="22"/>
        </w:rPr>
      </w:pPr>
    </w:p>
    <w:p w14:paraId="25F100B6" w14:textId="77777777" w:rsidR="009865B4" w:rsidRPr="008C2D89" w:rsidRDefault="009865B4" w:rsidP="009865B4">
      <w:pPr>
        <w:pStyle w:val="PlainText"/>
        <w:jc w:val="both"/>
        <w:rPr>
          <w:rFonts w:ascii="Times New Roman" w:hAnsi="Times New Roman" w:cs="Times New Roman"/>
          <w:noProof/>
          <w:szCs w:val="22"/>
        </w:rPr>
      </w:pPr>
    </w:p>
    <w:sectPr w:rsidR="009865B4" w:rsidRPr="008C2D89" w:rsidSect="008348B5">
      <w:headerReference w:type="default" r:id="rId13"/>
      <w:footerReference w:type="default" r:id="rId14"/>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0726" w14:textId="77777777" w:rsidR="00115868" w:rsidRDefault="00115868" w:rsidP="00F205E0">
      <w:r>
        <w:separator/>
      </w:r>
    </w:p>
  </w:endnote>
  <w:endnote w:type="continuationSeparator" w:id="0">
    <w:p w14:paraId="7F94B416" w14:textId="77777777" w:rsidR="00115868" w:rsidRDefault="00115868"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3F19" w14:textId="77777777" w:rsidR="00CE2889" w:rsidRDefault="00CE2889" w:rsidP="00CE2889">
    <w:pPr>
      <w:framePr w:hSpace="180" w:wrap="auto" w:vAnchor="page" w:hAnchor="page" w:x="496" w:y="14626"/>
      <w:rPr>
        <w:spacing w:val="10"/>
      </w:rPr>
    </w:pPr>
    <w:r w:rsidRPr="00810452">
      <w:rPr>
        <w:spacing w:val="10"/>
      </w:rPr>
      <w:object w:dxaOrig="270" w:dyaOrig="240" w14:anchorId="293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pt" fillcolor="window">
          <v:imagedata r:id="rId1" o:title=""/>
        </v:shape>
        <o:OLEObject Type="Embed" ProgID="MSDraw" ShapeID="_x0000_i1025" DrawAspect="Content" ObjectID="_1736588065" r:id="rId2">
          <o:FieldCodes>\* mergeformat</o:FieldCodes>
        </o:OLEObject>
      </w:object>
    </w:r>
  </w:p>
  <w:p w14:paraId="2BD3775A"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6A96864B"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BAAD9D8"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18F2"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5501" w14:textId="77777777" w:rsidR="00115868" w:rsidRDefault="00115868" w:rsidP="00F205E0">
      <w:r>
        <w:separator/>
      </w:r>
    </w:p>
  </w:footnote>
  <w:footnote w:type="continuationSeparator" w:id="0">
    <w:p w14:paraId="6E4D5565" w14:textId="77777777" w:rsidR="00115868" w:rsidRDefault="00115868"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346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79FB0983"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E068E1C" wp14:editId="0C86C4A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2EA8EC5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217F81ED"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33A81D0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36EEE76"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1BEF8E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7660E161"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7DB3506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63207D8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707C4C2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B816EA5"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5F7E9611"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64FFA32" w14:textId="77777777" w:rsidR="00052A22" w:rsidRDefault="00052A22" w:rsidP="00B47B3A">
    <w:pPr>
      <w:pStyle w:val="Heading1"/>
      <w:framePr w:w="5899" w:h="545" w:wrap="auto" w:x="3502" w:y="2993"/>
    </w:pPr>
    <w:r>
      <w:t>Public Utility Commission of Texas</w:t>
    </w:r>
  </w:p>
  <w:p w14:paraId="153E18D9"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0A4BF7A8"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1F688BB3"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8C41731"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5BA590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38F5BA5B"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1CDC"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0A65"/>
    <w:multiLevelType w:val="hybridMultilevel"/>
    <w:tmpl w:val="CE94B3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 w15:restartNumberingAfterBreak="0">
    <w:nsid w:val="1FAE02EB"/>
    <w:multiLevelType w:val="hybridMultilevel"/>
    <w:tmpl w:val="4DBA4268"/>
    <w:lvl w:ilvl="0" w:tplc="F0F81208">
      <w:start w:val="1"/>
      <w:numFmt w:val="bullet"/>
      <w:lvlText w:val="•"/>
      <w:lvlJc w:val="left"/>
      <w:pPr>
        <w:tabs>
          <w:tab w:val="num" w:pos="720"/>
        </w:tabs>
        <w:ind w:left="720" w:hanging="360"/>
      </w:pPr>
      <w:rPr>
        <w:rFonts w:ascii="Calibri" w:hAnsi="Calibri" w:cs="Times New Roman" w:hint="default"/>
      </w:rPr>
    </w:lvl>
    <w:lvl w:ilvl="1" w:tplc="1F58DCCC">
      <w:start w:val="1"/>
      <w:numFmt w:val="bullet"/>
      <w:lvlText w:val="•"/>
      <w:lvlJc w:val="left"/>
      <w:pPr>
        <w:tabs>
          <w:tab w:val="num" w:pos="1440"/>
        </w:tabs>
        <w:ind w:left="1440" w:hanging="360"/>
      </w:pPr>
      <w:rPr>
        <w:rFonts w:ascii="Calibri" w:hAnsi="Calibri" w:cs="Times New Roman" w:hint="default"/>
      </w:rPr>
    </w:lvl>
    <w:lvl w:ilvl="2" w:tplc="FB3A7BD6">
      <w:start w:val="1"/>
      <w:numFmt w:val="bullet"/>
      <w:lvlText w:val="•"/>
      <w:lvlJc w:val="left"/>
      <w:pPr>
        <w:tabs>
          <w:tab w:val="num" w:pos="2160"/>
        </w:tabs>
        <w:ind w:left="2160" w:hanging="360"/>
      </w:pPr>
      <w:rPr>
        <w:rFonts w:ascii="Calibri" w:hAnsi="Calibri" w:cs="Times New Roman" w:hint="default"/>
      </w:rPr>
    </w:lvl>
    <w:lvl w:ilvl="3" w:tplc="58F06114">
      <w:start w:val="1"/>
      <w:numFmt w:val="bullet"/>
      <w:lvlText w:val="•"/>
      <w:lvlJc w:val="left"/>
      <w:pPr>
        <w:tabs>
          <w:tab w:val="num" w:pos="2880"/>
        </w:tabs>
        <w:ind w:left="2880" w:hanging="360"/>
      </w:pPr>
      <w:rPr>
        <w:rFonts w:ascii="Calibri" w:hAnsi="Calibri" w:cs="Times New Roman" w:hint="default"/>
      </w:rPr>
    </w:lvl>
    <w:lvl w:ilvl="4" w:tplc="B8FE601C">
      <w:start w:val="1"/>
      <w:numFmt w:val="bullet"/>
      <w:lvlText w:val="•"/>
      <w:lvlJc w:val="left"/>
      <w:pPr>
        <w:tabs>
          <w:tab w:val="num" w:pos="3600"/>
        </w:tabs>
        <w:ind w:left="3600" w:hanging="360"/>
      </w:pPr>
      <w:rPr>
        <w:rFonts w:ascii="Calibri" w:hAnsi="Calibri" w:cs="Times New Roman" w:hint="default"/>
      </w:rPr>
    </w:lvl>
    <w:lvl w:ilvl="5" w:tplc="9F7494F0">
      <w:start w:val="1"/>
      <w:numFmt w:val="bullet"/>
      <w:lvlText w:val="•"/>
      <w:lvlJc w:val="left"/>
      <w:pPr>
        <w:tabs>
          <w:tab w:val="num" w:pos="4320"/>
        </w:tabs>
        <w:ind w:left="4320" w:hanging="360"/>
      </w:pPr>
      <w:rPr>
        <w:rFonts w:ascii="Calibri" w:hAnsi="Calibri" w:cs="Times New Roman" w:hint="default"/>
      </w:rPr>
    </w:lvl>
    <w:lvl w:ilvl="6" w:tplc="25B4BA10">
      <w:start w:val="1"/>
      <w:numFmt w:val="bullet"/>
      <w:lvlText w:val="•"/>
      <w:lvlJc w:val="left"/>
      <w:pPr>
        <w:tabs>
          <w:tab w:val="num" w:pos="5040"/>
        </w:tabs>
        <w:ind w:left="5040" w:hanging="360"/>
      </w:pPr>
      <w:rPr>
        <w:rFonts w:ascii="Calibri" w:hAnsi="Calibri" w:cs="Times New Roman" w:hint="default"/>
      </w:rPr>
    </w:lvl>
    <w:lvl w:ilvl="7" w:tplc="6DF84EAC">
      <w:start w:val="1"/>
      <w:numFmt w:val="bullet"/>
      <w:lvlText w:val="•"/>
      <w:lvlJc w:val="left"/>
      <w:pPr>
        <w:tabs>
          <w:tab w:val="num" w:pos="5760"/>
        </w:tabs>
        <w:ind w:left="5760" w:hanging="360"/>
      </w:pPr>
      <w:rPr>
        <w:rFonts w:ascii="Calibri" w:hAnsi="Calibri" w:cs="Times New Roman" w:hint="default"/>
      </w:rPr>
    </w:lvl>
    <w:lvl w:ilvl="8" w:tplc="79481BD0">
      <w:start w:val="1"/>
      <w:numFmt w:val="bullet"/>
      <w:lvlText w:val="•"/>
      <w:lvlJc w:val="left"/>
      <w:pPr>
        <w:tabs>
          <w:tab w:val="num" w:pos="6480"/>
        </w:tabs>
        <w:ind w:left="6480" w:hanging="360"/>
      </w:pPr>
      <w:rPr>
        <w:rFonts w:ascii="Calibri" w:hAnsi="Calibri" w:cs="Times New Roman" w:hint="default"/>
      </w:rPr>
    </w:lvl>
  </w:abstractNum>
  <w:abstractNum w:abstractNumId="2" w15:restartNumberingAfterBreak="0">
    <w:nsid w:val="42E228F4"/>
    <w:multiLevelType w:val="hybridMultilevel"/>
    <w:tmpl w:val="8F7C10CA"/>
    <w:lvl w:ilvl="0" w:tplc="65F0132C">
      <w:start w:val="1"/>
      <w:numFmt w:val="bullet"/>
      <w:lvlText w:val="•"/>
      <w:lvlJc w:val="left"/>
      <w:pPr>
        <w:tabs>
          <w:tab w:val="num" w:pos="720"/>
        </w:tabs>
        <w:ind w:left="720" w:hanging="360"/>
      </w:pPr>
      <w:rPr>
        <w:rFonts w:ascii="Calibri" w:hAnsi="Calibri" w:cs="Times New Roman" w:hint="default"/>
      </w:rPr>
    </w:lvl>
    <w:lvl w:ilvl="1" w:tplc="BB1234EA">
      <w:start w:val="1"/>
      <w:numFmt w:val="bullet"/>
      <w:lvlText w:val="•"/>
      <w:lvlJc w:val="left"/>
      <w:pPr>
        <w:tabs>
          <w:tab w:val="num" w:pos="1440"/>
        </w:tabs>
        <w:ind w:left="1440" w:hanging="360"/>
      </w:pPr>
      <w:rPr>
        <w:rFonts w:ascii="Calibri" w:hAnsi="Calibri" w:cs="Times New Roman" w:hint="default"/>
      </w:rPr>
    </w:lvl>
    <w:lvl w:ilvl="2" w:tplc="79E836E4">
      <w:start w:val="1"/>
      <w:numFmt w:val="bullet"/>
      <w:lvlText w:val="•"/>
      <w:lvlJc w:val="left"/>
      <w:pPr>
        <w:tabs>
          <w:tab w:val="num" w:pos="2160"/>
        </w:tabs>
        <w:ind w:left="2160" w:hanging="360"/>
      </w:pPr>
      <w:rPr>
        <w:rFonts w:ascii="Calibri" w:hAnsi="Calibri" w:cs="Times New Roman" w:hint="default"/>
      </w:rPr>
    </w:lvl>
    <w:lvl w:ilvl="3" w:tplc="4AEA455E">
      <w:start w:val="1"/>
      <w:numFmt w:val="bullet"/>
      <w:lvlText w:val="•"/>
      <w:lvlJc w:val="left"/>
      <w:pPr>
        <w:tabs>
          <w:tab w:val="num" w:pos="2880"/>
        </w:tabs>
        <w:ind w:left="2880" w:hanging="360"/>
      </w:pPr>
      <w:rPr>
        <w:rFonts w:ascii="Calibri" w:hAnsi="Calibri" w:cs="Times New Roman" w:hint="default"/>
      </w:rPr>
    </w:lvl>
    <w:lvl w:ilvl="4" w:tplc="AF76CB76">
      <w:start w:val="1"/>
      <w:numFmt w:val="bullet"/>
      <w:lvlText w:val="•"/>
      <w:lvlJc w:val="left"/>
      <w:pPr>
        <w:tabs>
          <w:tab w:val="num" w:pos="3600"/>
        </w:tabs>
        <w:ind w:left="3600" w:hanging="360"/>
      </w:pPr>
      <w:rPr>
        <w:rFonts w:ascii="Calibri" w:hAnsi="Calibri" w:cs="Times New Roman" w:hint="default"/>
      </w:rPr>
    </w:lvl>
    <w:lvl w:ilvl="5" w:tplc="EDAEC1A4">
      <w:start w:val="1"/>
      <w:numFmt w:val="bullet"/>
      <w:lvlText w:val="•"/>
      <w:lvlJc w:val="left"/>
      <w:pPr>
        <w:tabs>
          <w:tab w:val="num" w:pos="4320"/>
        </w:tabs>
        <w:ind w:left="4320" w:hanging="360"/>
      </w:pPr>
      <w:rPr>
        <w:rFonts w:ascii="Calibri" w:hAnsi="Calibri" w:cs="Times New Roman" w:hint="default"/>
      </w:rPr>
    </w:lvl>
    <w:lvl w:ilvl="6" w:tplc="4C860B64">
      <w:start w:val="1"/>
      <w:numFmt w:val="bullet"/>
      <w:lvlText w:val="•"/>
      <w:lvlJc w:val="left"/>
      <w:pPr>
        <w:tabs>
          <w:tab w:val="num" w:pos="5040"/>
        </w:tabs>
        <w:ind w:left="5040" w:hanging="360"/>
      </w:pPr>
      <w:rPr>
        <w:rFonts w:ascii="Calibri" w:hAnsi="Calibri" w:cs="Times New Roman" w:hint="default"/>
      </w:rPr>
    </w:lvl>
    <w:lvl w:ilvl="7" w:tplc="7B68B8FE">
      <w:start w:val="1"/>
      <w:numFmt w:val="bullet"/>
      <w:lvlText w:val="•"/>
      <w:lvlJc w:val="left"/>
      <w:pPr>
        <w:tabs>
          <w:tab w:val="num" w:pos="5760"/>
        </w:tabs>
        <w:ind w:left="5760" w:hanging="360"/>
      </w:pPr>
      <w:rPr>
        <w:rFonts w:ascii="Calibri" w:hAnsi="Calibri" w:cs="Times New Roman" w:hint="default"/>
      </w:rPr>
    </w:lvl>
    <w:lvl w:ilvl="8" w:tplc="59220398">
      <w:start w:val="1"/>
      <w:numFmt w:val="bullet"/>
      <w:lvlText w:val="•"/>
      <w:lvlJc w:val="left"/>
      <w:pPr>
        <w:tabs>
          <w:tab w:val="num" w:pos="6480"/>
        </w:tabs>
        <w:ind w:left="6480" w:hanging="360"/>
      </w:pPr>
      <w:rPr>
        <w:rFonts w:ascii="Calibri" w:hAnsi="Calibri" w:cs="Times New Roman" w:hint="default"/>
      </w:rPr>
    </w:lvl>
  </w:abstractNum>
  <w:abstractNum w:abstractNumId="3" w15:restartNumberingAfterBreak="0">
    <w:nsid w:val="63D93583"/>
    <w:multiLevelType w:val="hybridMultilevel"/>
    <w:tmpl w:val="34BA3FF6"/>
    <w:lvl w:ilvl="0" w:tplc="461ACFDC">
      <w:start w:val="1"/>
      <w:numFmt w:val="bullet"/>
      <w:lvlText w:val="•"/>
      <w:lvlJc w:val="left"/>
      <w:pPr>
        <w:tabs>
          <w:tab w:val="num" w:pos="720"/>
        </w:tabs>
        <w:ind w:left="720" w:hanging="360"/>
      </w:pPr>
      <w:rPr>
        <w:rFonts w:ascii="Calibri" w:hAnsi="Calibri" w:cs="Times New Roman" w:hint="default"/>
      </w:rPr>
    </w:lvl>
    <w:lvl w:ilvl="1" w:tplc="AABA541A">
      <w:start w:val="1"/>
      <w:numFmt w:val="bullet"/>
      <w:lvlText w:val="•"/>
      <w:lvlJc w:val="left"/>
      <w:pPr>
        <w:tabs>
          <w:tab w:val="num" w:pos="1440"/>
        </w:tabs>
        <w:ind w:left="1440" w:hanging="360"/>
      </w:pPr>
      <w:rPr>
        <w:rFonts w:ascii="Calibri" w:hAnsi="Calibri" w:cs="Times New Roman" w:hint="default"/>
      </w:rPr>
    </w:lvl>
    <w:lvl w:ilvl="2" w:tplc="C7BC061C">
      <w:start w:val="1"/>
      <w:numFmt w:val="bullet"/>
      <w:lvlText w:val="•"/>
      <w:lvlJc w:val="left"/>
      <w:pPr>
        <w:tabs>
          <w:tab w:val="num" w:pos="2160"/>
        </w:tabs>
        <w:ind w:left="2160" w:hanging="360"/>
      </w:pPr>
      <w:rPr>
        <w:rFonts w:ascii="Calibri" w:hAnsi="Calibri" w:cs="Times New Roman" w:hint="default"/>
      </w:rPr>
    </w:lvl>
    <w:lvl w:ilvl="3" w:tplc="C41851DA">
      <w:start w:val="1"/>
      <w:numFmt w:val="bullet"/>
      <w:lvlText w:val="•"/>
      <w:lvlJc w:val="left"/>
      <w:pPr>
        <w:tabs>
          <w:tab w:val="num" w:pos="2880"/>
        </w:tabs>
        <w:ind w:left="2880" w:hanging="360"/>
      </w:pPr>
      <w:rPr>
        <w:rFonts w:ascii="Calibri" w:hAnsi="Calibri" w:cs="Times New Roman" w:hint="default"/>
      </w:rPr>
    </w:lvl>
    <w:lvl w:ilvl="4" w:tplc="A4668416">
      <w:start w:val="1"/>
      <w:numFmt w:val="bullet"/>
      <w:lvlText w:val="•"/>
      <w:lvlJc w:val="left"/>
      <w:pPr>
        <w:tabs>
          <w:tab w:val="num" w:pos="3600"/>
        </w:tabs>
        <w:ind w:left="3600" w:hanging="360"/>
      </w:pPr>
      <w:rPr>
        <w:rFonts w:ascii="Calibri" w:hAnsi="Calibri" w:cs="Times New Roman" w:hint="default"/>
      </w:rPr>
    </w:lvl>
    <w:lvl w:ilvl="5" w:tplc="E9644B06">
      <w:start w:val="1"/>
      <w:numFmt w:val="bullet"/>
      <w:lvlText w:val="•"/>
      <w:lvlJc w:val="left"/>
      <w:pPr>
        <w:tabs>
          <w:tab w:val="num" w:pos="4320"/>
        </w:tabs>
        <w:ind w:left="4320" w:hanging="360"/>
      </w:pPr>
      <w:rPr>
        <w:rFonts w:ascii="Calibri" w:hAnsi="Calibri" w:cs="Times New Roman" w:hint="default"/>
      </w:rPr>
    </w:lvl>
    <w:lvl w:ilvl="6" w:tplc="B3649D7C">
      <w:start w:val="1"/>
      <w:numFmt w:val="bullet"/>
      <w:lvlText w:val="•"/>
      <w:lvlJc w:val="left"/>
      <w:pPr>
        <w:tabs>
          <w:tab w:val="num" w:pos="5040"/>
        </w:tabs>
        <w:ind w:left="5040" w:hanging="360"/>
      </w:pPr>
      <w:rPr>
        <w:rFonts w:ascii="Calibri" w:hAnsi="Calibri" w:cs="Times New Roman" w:hint="default"/>
      </w:rPr>
    </w:lvl>
    <w:lvl w:ilvl="7" w:tplc="4DE2412A">
      <w:start w:val="1"/>
      <w:numFmt w:val="bullet"/>
      <w:lvlText w:val="•"/>
      <w:lvlJc w:val="left"/>
      <w:pPr>
        <w:tabs>
          <w:tab w:val="num" w:pos="5760"/>
        </w:tabs>
        <w:ind w:left="5760" w:hanging="360"/>
      </w:pPr>
      <w:rPr>
        <w:rFonts w:ascii="Calibri" w:hAnsi="Calibri" w:cs="Times New Roman" w:hint="default"/>
      </w:rPr>
    </w:lvl>
    <w:lvl w:ilvl="8" w:tplc="56BCF6AE">
      <w:start w:val="1"/>
      <w:numFmt w:val="bullet"/>
      <w:lvlText w:val="•"/>
      <w:lvlJc w:val="left"/>
      <w:pPr>
        <w:tabs>
          <w:tab w:val="num" w:pos="6480"/>
        </w:tabs>
        <w:ind w:left="6480" w:hanging="360"/>
      </w:pPr>
      <w:rPr>
        <w:rFonts w:ascii="Calibri" w:hAnsi="Calibri" w:cs="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68"/>
    <w:rsid w:val="00052A22"/>
    <w:rsid w:val="00054249"/>
    <w:rsid w:val="00081D53"/>
    <w:rsid w:val="000A4384"/>
    <w:rsid w:val="000C7B58"/>
    <w:rsid w:val="00106EF6"/>
    <w:rsid w:val="00115868"/>
    <w:rsid w:val="00184DA7"/>
    <w:rsid w:val="001C60C2"/>
    <w:rsid w:val="00206A93"/>
    <w:rsid w:val="00210A67"/>
    <w:rsid w:val="00263D47"/>
    <w:rsid w:val="00266D3A"/>
    <w:rsid w:val="002826D4"/>
    <w:rsid w:val="002A460E"/>
    <w:rsid w:val="002B5F2A"/>
    <w:rsid w:val="002C6B71"/>
    <w:rsid w:val="002C7323"/>
    <w:rsid w:val="002F1F3A"/>
    <w:rsid w:val="002F4A6E"/>
    <w:rsid w:val="00304A7D"/>
    <w:rsid w:val="00332B56"/>
    <w:rsid w:val="00333DA2"/>
    <w:rsid w:val="003B13E5"/>
    <w:rsid w:val="003B52A7"/>
    <w:rsid w:val="003C1C7E"/>
    <w:rsid w:val="003C639A"/>
    <w:rsid w:val="003D3E2D"/>
    <w:rsid w:val="003F117F"/>
    <w:rsid w:val="003F6056"/>
    <w:rsid w:val="00422640"/>
    <w:rsid w:val="00467443"/>
    <w:rsid w:val="00492BCD"/>
    <w:rsid w:val="004F132B"/>
    <w:rsid w:val="005405EA"/>
    <w:rsid w:val="00567656"/>
    <w:rsid w:val="0057420A"/>
    <w:rsid w:val="00580FCC"/>
    <w:rsid w:val="00591646"/>
    <w:rsid w:val="005D2379"/>
    <w:rsid w:val="0068564C"/>
    <w:rsid w:val="006856A5"/>
    <w:rsid w:val="006A4AB4"/>
    <w:rsid w:val="006B63C8"/>
    <w:rsid w:val="00721FA6"/>
    <w:rsid w:val="0074595D"/>
    <w:rsid w:val="00756666"/>
    <w:rsid w:val="00783E18"/>
    <w:rsid w:val="00787F8C"/>
    <w:rsid w:val="008143E2"/>
    <w:rsid w:val="008348B5"/>
    <w:rsid w:val="008732BB"/>
    <w:rsid w:val="00890720"/>
    <w:rsid w:val="008A637F"/>
    <w:rsid w:val="008B3606"/>
    <w:rsid w:val="008C0670"/>
    <w:rsid w:val="008C2D89"/>
    <w:rsid w:val="008C4B64"/>
    <w:rsid w:val="008C7E5D"/>
    <w:rsid w:val="008E2B50"/>
    <w:rsid w:val="008F04CD"/>
    <w:rsid w:val="009865B4"/>
    <w:rsid w:val="00991E9C"/>
    <w:rsid w:val="009B073B"/>
    <w:rsid w:val="009B5F0D"/>
    <w:rsid w:val="009E3AC7"/>
    <w:rsid w:val="009F15AB"/>
    <w:rsid w:val="00A12349"/>
    <w:rsid w:val="00AC26D9"/>
    <w:rsid w:val="00AC68BC"/>
    <w:rsid w:val="00AD68A5"/>
    <w:rsid w:val="00B43A8B"/>
    <w:rsid w:val="00B45C28"/>
    <w:rsid w:val="00B47B3A"/>
    <w:rsid w:val="00B5413E"/>
    <w:rsid w:val="00B56CBB"/>
    <w:rsid w:val="00B65457"/>
    <w:rsid w:val="00B677AD"/>
    <w:rsid w:val="00BA4B36"/>
    <w:rsid w:val="00BC4608"/>
    <w:rsid w:val="00BD7607"/>
    <w:rsid w:val="00BE64C1"/>
    <w:rsid w:val="00C20E30"/>
    <w:rsid w:val="00C33515"/>
    <w:rsid w:val="00C3714F"/>
    <w:rsid w:val="00C52BE6"/>
    <w:rsid w:val="00C6276B"/>
    <w:rsid w:val="00C71532"/>
    <w:rsid w:val="00C93E4A"/>
    <w:rsid w:val="00CB24AC"/>
    <w:rsid w:val="00CE14C5"/>
    <w:rsid w:val="00CE2889"/>
    <w:rsid w:val="00CF6ECF"/>
    <w:rsid w:val="00D239E0"/>
    <w:rsid w:val="00D840EE"/>
    <w:rsid w:val="00D90769"/>
    <w:rsid w:val="00D96923"/>
    <w:rsid w:val="00DB14A8"/>
    <w:rsid w:val="00DC43CA"/>
    <w:rsid w:val="00DE78BA"/>
    <w:rsid w:val="00E26D70"/>
    <w:rsid w:val="00E26E8A"/>
    <w:rsid w:val="00E30FA8"/>
    <w:rsid w:val="00E55C53"/>
    <w:rsid w:val="00E74285"/>
    <w:rsid w:val="00E83210"/>
    <w:rsid w:val="00E91F69"/>
    <w:rsid w:val="00EA3A3B"/>
    <w:rsid w:val="00EB4A8F"/>
    <w:rsid w:val="00EE430E"/>
    <w:rsid w:val="00F205E0"/>
    <w:rsid w:val="00F601E8"/>
    <w:rsid w:val="00F62671"/>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8E53A"/>
  <w15:docId w15:val="{313BBE5C-7B01-4540-993A-2E82CCB7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68"/>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11586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115868"/>
    <w:rPr>
      <w:rFonts w:ascii="Calibri" w:hAnsi="Calibri" w:cstheme="minorBidi"/>
      <w:sz w:val="22"/>
      <w:szCs w:val="21"/>
    </w:rPr>
  </w:style>
  <w:style w:type="character" w:styleId="Hyperlink">
    <w:name w:val="Hyperlink"/>
    <w:basedOn w:val="DefaultParagraphFont"/>
    <w:uiPriority w:val="99"/>
    <w:unhideWhenUsed/>
    <w:rsid w:val="00115868"/>
    <w:rPr>
      <w:color w:val="0000FF" w:themeColor="hyperlink"/>
      <w:u w:val="single"/>
    </w:rPr>
  </w:style>
  <w:style w:type="character" w:styleId="UnresolvedMention">
    <w:name w:val="Unresolved Mention"/>
    <w:basedOn w:val="DefaultParagraphFont"/>
    <w:uiPriority w:val="99"/>
    <w:semiHidden/>
    <w:unhideWhenUsed/>
    <w:rsid w:val="00115868"/>
    <w:rPr>
      <w:color w:val="605E5C"/>
      <w:shd w:val="clear" w:color="auto" w:fill="E1DFDD"/>
    </w:rPr>
  </w:style>
  <w:style w:type="paragraph" w:styleId="ListParagraph">
    <w:name w:val="List Paragraph"/>
    <w:basedOn w:val="Normal"/>
    <w:uiPriority w:val="34"/>
    <w:qFormat/>
    <w:rsid w:val="00E26E8A"/>
    <w:pPr>
      <w:ind w:left="720"/>
    </w:pPr>
    <w:rPr>
      <w:rFonts w:ascii="Calibri" w:eastAsiaTheme="minorHAnsi" w:hAnsi="Calibri" w:cs="Calibri"/>
      <w:sz w:val="22"/>
      <w:szCs w:val="22"/>
    </w:rPr>
  </w:style>
  <w:style w:type="character" w:styleId="FollowedHyperlink">
    <w:name w:val="FollowedHyperlink"/>
    <w:basedOn w:val="DefaultParagraphFont"/>
    <w:uiPriority w:val="99"/>
    <w:semiHidden/>
    <w:unhideWhenUsed/>
    <w:rsid w:val="00D840EE"/>
    <w:rPr>
      <w:color w:val="800080" w:themeColor="followedHyperlink"/>
      <w:u w:val="single"/>
    </w:rPr>
  </w:style>
  <w:style w:type="table" w:styleId="PlainTable1">
    <w:name w:val="Plain Table 1"/>
    <w:basedOn w:val="TableNormal"/>
    <w:uiPriority w:val="41"/>
    <w:rsid w:val="00D840EE"/>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basedOn w:val="Normal"/>
    <w:link w:val="FootnoteTextChar"/>
    <w:uiPriority w:val="99"/>
    <w:semiHidden/>
    <w:unhideWhenUsed/>
    <w:rsid w:val="00206A93"/>
    <w:rPr>
      <w:sz w:val="20"/>
    </w:rPr>
  </w:style>
  <w:style w:type="character" w:customStyle="1" w:styleId="FootnoteTextChar">
    <w:name w:val="Footnote Text Char"/>
    <w:basedOn w:val="DefaultParagraphFont"/>
    <w:link w:val="FootnoteText"/>
    <w:uiPriority w:val="99"/>
    <w:semiHidden/>
    <w:rsid w:val="00206A93"/>
    <w:rPr>
      <w:rFonts w:eastAsia="Times New Roman"/>
      <w:sz w:val="20"/>
      <w:szCs w:val="20"/>
    </w:rPr>
  </w:style>
  <w:style w:type="character" w:styleId="FootnoteReference">
    <w:name w:val="footnote reference"/>
    <w:basedOn w:val="DefaultParagraphFont"/>
    <w:uiPriority w:val="99"/>
    <w:semiHidden/>
    <w:unhideWhenUsed/>
    <w:rsid w:val="00206A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1864">
      <w:bodyDiv w:val="1"/>
      <w:marLeft w:val="0"/>
      <w:marRight w:val="0"/>
      <w:marTop w:val="0"/>
      <w:marBottom w:val="0"/>
      <w:divBdr>
        <w:top w:val="none" w:sz="0" w:space="0" w:color="auto"/>
        <w:left w:val="none" w:sz="0" w:space="0" w:color="auto"/>
        <w:bottom w:val="none" w:sz="0" w:space="0" w:color="auto"/>
        <w:right w:val="none" w:sz="0" w:space="0" w:color="auto"/>
      </w:divBdr>
    </w:div>
    <w:div w:id="1008866840">
      <w:bodyDiv w:val="1"/>
      <w:marLeft w:val="0"/>
      <w:marRight w:val="0"/>
      <w:marTop w:val="0"/>
      <w:marBottom w:val="0"/>
      <w:divBdr>
        <w:top w:val="none" w:sz="0" w:space="0" w:color="auto"/>
        <w:left w:val="none" w:sz="0" w:space="0" w:color="auto"/>
        <w:bottom w:val="none" w:sz="0" w:space="0" w:color="auto"/>
        <w:right w:val="none" w:sz="0" w:space="0" w:color="auto"/>
      </w:divBdr>
    </w:div>
    <w:div w:id="1554082124">
      <w:bodyDiv w:val="1"/>
      <w:marLeft w:val="0"/>
      <w:marRight w:val="0"/>
      <w:marTop w:val="0"/>
      <w:marBottom w:val="0"/>
      <w:divBdr>
        <w:top w:val="none" w:sz="0" w:space="0" w:color="auto"/>
        <w:left w:val="none" w:sz="0" w:space="0" w:color="auto"/>
        <w:bottom w:val="none" w:sz="0" w:space="0" w:color="auto"/>
        <w:right w:val="none" w:sz="0" w:space="0" w:color="auto"/>
      </w:divBdr>
    </w:div>
    <w:div w:id="1957979152">
      <w:bodyDiv w:val="1"/>
      <w:marLeft w:val="0"/>
      <w:marRight w:val="0"/>
      <w:marTop w:val="0"/>
      <w:marBottom w:val="0"/>
      <w:divBdr>
        <w:top w:val="none" w:sz="0" w:space="0" w:color="auto"/>
        <w:left w:val="none" w:sz="0" w:space="0" w:color="auto"/>
        <w:bottom w:val="none" w:sz="0" w:space="0" w:color="auto"/>
        <w:right w:val="none" w:sz="0" w:space="0" w:color="auto"/>
      </w:divBdr>
    </w:div>
    <w:div w:id="20676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na.yoder@tetr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rk.lee@tetratech.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ams.microsoft.com/l/team/19%3andnM72VHfSsHi5TQSTSCv1I_SNi2Q35ZQPzcPNl9IzQ1%40thread.tacv2/conversations?groupId=a1289163-7ca6-4978-a155-9417961f01c1&amp;tenantId=a40fe4ba-abc7-48fe-8792-b4388993640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0C233-1B29-41F3-82BE-6CAF6F30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0</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Therese Harris</cp:lastModifiedBy>
  <cp:revision>2</cp:revision>
  <cp:lastPrinted>2010-07-16T14:48:00Z</cp:lastPrinted>
  <dcterms:created xsi:type="dcterms:W3CDTF">2023-01-30T18:47:00Z</dcterms:created>
  <dcterms:modified xsi:type="dcterms:W3CDTF">2023-01-30T18:47:00Z</dcterms:modified>
</cp:coreProperties>
</file>